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F9" w:rsidRPr="006A49F9" w:rsidRDefault="006A49F9" w:rsidP="006A49F9">
      <w:pPr>
        <w:jc w:val="right"/>
        <w:rPr>
          <w:rFonts w:ascii="Georgia" w:hAnsi="Georgia"/>
          <w:bCs/>
          <w:sz w:val="22"/>
          <w:szCs w:val="22"/>
        </w:rPr>
      </w:pPr>
      <w:bookmarkStart w:id="0" w:name="_GoBack"/>
      <w:bookmarkEnd w:id="0"/>
      <w:r w:rsidRPr="006A49F9">
        <w:rPr>
          <w:rFonts w:ascii="Georgia" w:hAnsi="Georgia"/>
          <w:bCs/>
          <w:sz w:val="22"/>
          <w:szCs w:val="22"/>
        </w:rPr>
        <w:t>Name:  _________________</w:t>
      </w:r>
      <w:r w:rsidRPr="006A49F9">
        <w:rPr>
          <w:rFonts w:ascii="Georgia" w:hAnsi="Georgia"/>
          <w:bCs/>
          <w:sz w:val="22"/>
          <w:szCs w:val="22"/>
        </w:rPr>
        <w:tab/>
        <w:t>Period:  _____</w:t>
      </w:r>
    </w:p>
    <w:p w:rsidR="006A49F9" w:rsidRDefault="006A49F9">
      <w:pPr>
        <w:jc w:val="center"/>
        <w:rPr>
          <w:rFonts w:ascii="Georgia" w:hAnsi="Georgia"/>
          <w:b/>
          <w:bCs/>
          <w:sz w:val="28"/>
        </w:rPr>
      </w:pPr>
    </w:p>
    <w:p w:rsidR="00F642F3" w:rsidRPr="006A49F9" w:rsidRDefault="00F642F3">
      <w:pPr>
        <w:jc w:val="center"/>
        <w:rPr>
          <w:rFonts w:ascii="Georgia" w:hAnsi="Georgia"/>
          <w:b/>
          <w:bCs/>
        </w:rPr>
      </w:pPr>
      <w:r w:rsidRPr="006A49F9">
        <w:rPr>
          <w:rFonts w:ascii="Georgia" w:hAnsi="Georgia"/>
          <w:b/>
          <w:bCs/>
        </w:rPr>
        <w:t>AP Government – Key Supreme Court Cases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pStyle w:val="BodyTex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The following list contains key cases that have appeared before the U.S. Supreme Court</w:t>
      </w:r>
      <w:r w:rsidR="00D5577F">
        <w:rPr>
          <w:b w:val="0"/>
          <w:bCs w:val="0"/>
          <w:i/>
          <w:iCs/>
        </w:rPr>
        <w:t xml:space="preserve">.  </w:t>
      </w:r>
      <w:r>
        <w:rPr>
          <w:b w:val="0"/>
          <w:bCs w:val="0"/>
          <w:i/>
          <w:iCs/>
        </w:rPr>
        <w:t xml:space="preserve"> </w:t>
      </w:r>
      <w:r w:rsidR="00D5577F">
        <w:rPr>
          <w:b w:val="0"/>
          <w:bCs w:val="0"/>
          <w:i/>
          <w:iCs/>
        </w:rPr>
        <w:t xml:space="preserve">While you will be required to </w:t>
      </w:r>
      <w:r w:rsidR="00A6238D">
        <w:rPr>
          <w:b w:val="0"/>
          <w:bCs w:val="0"/>
          <w:i/>
          <w:iCs/>
        </w:rPr>
        <w:t xml:space="preserve">know </w:t>
      </w:r>
      <w:r w:rsidR="00D5577F">
        <w:rPr>
          <w:b w:val="0"/>
          <w:bCs w:val="0"/>
          <w:i/>
          <w:iCs/>
        </w:rPr>
        <w:t>a number of the cases by name</w:t>
      </w:r>
      <w:r w:rsidR="00A6238D">
        <w:rPr>
          <w:b w:val="0"/>
          <w:bCs w:val="0"/>
          <w:i/>
          <w:iCs/>
        </w:rPr>
        <w:t xml:space="preserve">, </w:t>
      </w:r>
      <w:r w:rsidR="00D5577F">
        <w:rPr>
          <w:b w:val="0"/>
          <w:bCs w:val="0"/>
          <w:i/>
          <w:iCs/>
        </w:rPr>
        <w:t>t</w:t>
      </w:r>
      <w:r>
        <w:rPr>
          <w:b w:val="0"/>
          <w:bCs w:val="0"/>
          <w:i/>
          <w:iCs/>
        </w:rPr>
        <w:t xml:space="preserve">he important task is to understand the cases and their ramifications.  </w:t>
      </w:r>
      <w:r w:rsidR="006A49F9">
        <w:rPr>
          <w:b w:val="0"/>
          <w:bCs w:val="0"/>
          <w:i/>
          <w:iCs/>
        </w:rPr>
        <w:t>The cases with an * will appear on your Unit V Test.  Those and the other cases may appear on an upcoming test or the AP Exam in May.  (Also, y</w:t>
      </w:r>
      <w:r>
        <w:rPr>
          <w:b w:val="0"/>
          <w:bCs w:val="0"/>
          <w:i/>
          <w:iCs/>
        </w:rPr>
        <w:t xml:space="preserve">ou may use any notes taken on this page on your reading quizzes.)        </w:t>
      </w: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A6238D" w:rsidRDefault="00A6238D" w:rsidP="00A6238D">
      <w:pPr>
        <w:pStyle w:val="Heading4"/>
      </w:pPr>
      <w:r>
        <w:t>Institutions</w:t>
      </w: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Marbury v. Madison (1803)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Dred Scott v. Sanford (1857)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Clinton v. Jones (1997)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Clinton v. United States (1998)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U.S. v. Nixon (1973)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Immigration and Naturalization Service v. Chadha (1983)</w:t>
      </w:r>
    </w:p>
    <w:p w:rsidR="00A6238D" w:rsidRDefault="00A6238D" w:rsidP="00A6238D">
      <w:pPr>
        <w:rPr>
          <w:rFonts w:ascii="Georgia" w:hAnsi="Georgia"/>
          <w:sz w:val="22"/>
        </w:rPr>
      </w:pPr>
    </w:p>
    <w:p w:rsidR="00A6238D" w:rsidRDefault="00A6238D" w:rsidP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F642F3" w:rsidRDefault="00F642F3">
      <w:pPr>
        <w:pStyle w:val="Heading4"/>
      </w:pPr>
      <w:r>
        <w:t>Federalism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McCulloch v. Maryland (1819)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Gibbons v. Ogden (1824)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United States v. Lopez (1995)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 xml:space="preserve">Elections 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Buckley v. Valeo (1976)</w:t>
      </w: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Bush v. Gore (2000)</w:t>
      </w:r>
    </w:p>
    <w:p w:rsidR="00F642F3" w:rsidRDefault="00F642F3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Baker v. Carr (1962)</w:t>
      </w:r>
      <w:r w:rsidR="00A6238D">
        <w:rPr>
          <w:rFonts w:ascii="Georgia" w:hAnsi="Georgia"/>
          <w:sz w:val="22"/>
        </w:rPr>
        <w:t>/</w:t>
      </w:r>
      <w:r w:rsidR="00F642F3">
        <w:rPr>
          <w:rFonts w:ascii="Georgia" w:hAnsi="Georgia"/>
          <w:sz w:val="22"/>
        </w:rPr>
        <w:t>Wesberry v. Sanders (1964)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Shaw v. Reno (1993)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US Term Limits, Inc. v. Thornton (1995)</w:t>
      </w:r>
    </w:p>
    <w:p w:rsidR="00F642F3" w:rsidRDefault="00F642F3">
      <w:pPr>
        <w:rPr>
          <w:rFonts w:ascii="Georgia" w:hAnsi="Georgia"/>
          <w:sz w:val="22"/>
        </w:rPr>
      </w:pPr>
    </w:p>
    <w:p w:rsidR="006A49F9" w:rsidRDefault="006A49F9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McConnell v. Federal Election Commission (2003)</w:t>
      </w:r>
    </w:p>
    <w:p w:rsidR="00D5577F" w:rsidRDefault="00D5577F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D5577F" w:rsidRDefault="00D5577F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Citizens </w:t>
      </w:r>
      <w:r w:rsidR="00A6238D">
        <w:rPr>
          <w:rFonts w:ascii="Georgia" w:hAnsi="Georgia"/>
          <w:sz w:val="22"/>
        </w:rPr>
        <w:t>United v. FEC (2010)</w:t>
      </w: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 xml:space="preserve">Freedom of Speech </w:t>
      </w:r>
      <w:r w:rsidR="00DA3B82">
        <w:t>(Political and Symbo</w:t>
      </w:r>
      <w:r w:rsidR="006B2E00">
        <w:t>l</w:t>
      </w:r>
      <w:r w:rsidR="00DA3B82">
        <w:t>ic)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*Schenck v. United States (1919)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Abrams v. United States (1919)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 xml:space="preserve">Brandenburg v. </w:t>
      </w:r>
      <w:r w:rsidR="000A1DA4">
        <w:rPr>
          <w:rFonts w:ascii="Georgia" w:hAnsi="Georgia"/>
          <w:sz w:val="22"/>
        </w:rPr>
        <w:t>Ohio</w:t>
      </w:r>
      <w:r w:rsidR="00A6238D">
        <w:rPr>
          <w:rFonts w:ascii="Georgia" w:hAnsi="Georgia"/>
          <w:sz w:val="22"/>
        </w:rPr>
        <w:t xml:space="preserve"> (1969)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Tinker v. Des Moines Independent Community School District (1969)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Texas v. Johnson (1989)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6A49F9" w:rsidP="00A6238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A6238D">
        <w:rPr>
          <w:rFonts w:ascii="Georgia" w:hAnsi="Georgia"/>
          <w:sz w:val="22"/>
        </w:rPr>
        <w:t>Bethel School District No. 403 v. Fraser (1986)</w:t>
      </w:r>
    </w:p>
    <w:p w:rsidR="006B4921" w:rsidRDefault="006B4921" w:rsidP="00A6238D">
      <w:pPr>
        <w:rPr>
          <w:rFonts w:ascii="Georgia" w:hAnsi="Georgia"/>
          <w:sz w:val="22"/>
        </w:rPr>
      </w:pPr>
    </w:p>
    <w:p w:rsidR="006B4921" w:rsidRDefault="006B4921" w:rsidP="00A6238D">
      <w:pPr>
        <w:rPr>
          <w:rFonts w:ascii="Georgia" w:hAnsi="Georgia"/>
          <w:sz w:val="22"/>
        </w:rPr>
      </w:pPr>
    </w:p>
    <w:p w:rsidR="00A6238D" w:rsidRDefault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Briefly summarize recent cases and/or the direction the court is going </w:t>
      </w:r>
      <w:r w:rsidR="00C27B51">
        <w:rPr>
          <w:rFonts w:ascii="Georgia" w:hAnsi="Georgia"/>
          <w:i/>
          <w:sz w:val="22"/>
        </w:rPr>
        <w:t>in terms of the first amendment’s freedom of speech.</w:t>
      </w:r>
    </w:p>
    <w:p w:rsidR="001162DC" w:rsidRDefault="001162DC">
      <w:pPr>
        <w:rPr>
          <w:rFonts w:ascii="Georgia" w:hAnsi="Georgia"/>
          <w:i/>
          <w:sz w:val="22"/>
        </w:rPr>
      </w:pPr>
    </w:p>
    <w:p w:rsidR="001162DC" w:rsidRDefault="001162DC">
      <w:pPr>
        <w:rPr>
          <w:rFonts w:ascii="Georgia" w:hAnsi="Georgia"/>
          <w:i/>
          <w:sz w:val="22"/>
        </w:rPr>
      </w:pPr>
    </w:p>
    <w:p w:rsidR="001162DC" w:rsidRPr="006B2E00" w:rsidRDefault="001162DC">
      <w:pPr>
        <w:rPr>
          <w:rFonts w:ascii="Georgia" w:hAnsi="Georgia"/>
          <w:i/>
          <w:sz w:val="22"/>
        </w:rPr>
      </w:pPr>
    </w:p>
    <w:p w:rsidR="006B2E00" w:rsidRDefault="006B2E00">
      <w:pPr>
        <w:rPr>
          <w:rFonts w:ascii="Georgia" w:hAnsi="Georgia"/>
          <w:sz w:val="22"/>
        </w:rPr>
      </w:pPr>
    </w:p>
    <w:p w:rsidR="001162DC" w:rsidRDefault="001162DC">
      <w:pPr>
        <w:rPr>
          <w:rFonts w:ascii="Georgia" w:hAnsi="Georgia"/>
          <w:sz w:val="22"/>
        </w:rPr>
      </w:pPr>
    </w:p>
    <w:p w:rsidR="00F642F3" w:rsidRPr="00DA3B82" w:rsidRDefault="00DA3B82">
      <w:pPr>
        <w:rPr>
          <w:rFonts w:ascii="Georgia" w:hAnsi="Georgia"/>
          <w:b/>
          <w:sz w:val="22"/>
        </w:rPr>
      </w:pPr>
      <w:r w:rsidRPr="00DA3B82">
        <w:rPr>
          <w:rFonts w:ascii="Georgia" w:hAnsi="Georgia"/>
          <w:b/>
          <w:sz w:val="22"/>
        </w:rPr>
        <w:t>Freedom of the Press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Gitlow v. New York (1925)</w:t>
      </w:r>
      <w:r w:rsidR="00DA3B82">
        <w:rPr>
          <w:rFonts w:ascii="Georgia" w:hAnsi="Georgia"/>
          <w:sz w:val="22"/>
        </w:rPr>
        <w:t xml:space="preserve"> – First incorporation case by selectively incorporating the Freedom of the Press via the Fourteenth Amendments </w:t>
      </w:r>
    </w:p>
    <w:p w:rsidR="00F642F3" w:rsidRDefault="00F642F3">
      <w:pPr>
        <w:rPr>
          <w:rFonts w:ascii="Georgia" w:hAnsi="Georgia"/>
          <w:b/>
          <w:bCs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Near v. Minnesota (1931)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New York Times Co. v. U.S. (1971)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Miller v. California (1973)</w:t>
      </w:r>
    </w:p>
    <w:p w:rsidR="006B4921" w:rsidRDefault="006B4921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6B4921" w:rsidRDefault="006A49F9" w:rsidP="006B4921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6B4921">
        <w:rPr>
          <w:rFonts w:ascii="Georgia" w:hAnsi="Georgia"/>
          <w:sz w:val="22"/>
        </w:rPr>
        <w:t>Hazelwood School District v. Kuhlmeier (1988)</w:t>
      </w:r>
    </w:p>
    <w:p w:rsidR="006B4921" w:rsidRDefault="006B4921">
      <w:pPr>
        <w:rPr>
          <w:rFonts w:ascii="Georgia" w:hAnsi="Georgia"/>
          <w:sz w:val="22"/>
        </w:rPr>
      </w:pPr>
    </w:p>
    <w:p w:rsidR="001162DC" w:rsidRDefault="001162DC">
      <w:pPr>
        <w:rPr>
          <w:rFonts w:ascii="Georgia" w:hAnsi="Georgia"/>
          <w:sz w:val="22"/>
        </w:rPr>
      </w:pPr>
    </w:p>
    <w:p w:rsidR="001162DC" w:rsidRDefault="001162DC" w:rsidP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lastRenderedPageBreak/>
        <w:t xml:space="preserve">Briefly summarize recent cases and/or the direction the court is going in terms of the </w:t>
      </w:r>
      <w:r w:rsidR="00C27B51">
        <w:rPr>
          <w:rFonts w:ascii="Georgia" w:hAnsi="Georgia"/>
          <w:i/>
          <w:sz w:val="22"/>
        </w:rPr>
        <w:t>first amendment’s freedom of the press.</w:t>
      </w:r>
    </w:p>
    <w:p w:rsidR="00DA3B82" w:rsidRDefault="00DA3B82" w:rsidP="00DA3B82">
      <w:pPr>
        <w:pStyle w:val="Heading4"/>
      </w:pPr>
      <w:r>
        <w:t>Freedom of Assembly and Petition</w:t>
      </w: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NAACP v. Alabama (1958)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Boy Scouts of America v. Dale (2000)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Freedom of Religion</w:t>
      </w:r>
      <w:r w:rsidR="00DA3B82">
        <w:t xml:space="preserve"> – Establishment Clause</w:t>
      </w: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Everson v. Board of Education (1942)</w:t>
      </w: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Engel v. Vitale (1962)</w:t>
      </w:r>
    </w:p>
    <w:p w:rsidR="00F642F3" w:rsidRDefault="00F642F3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Lemon v. Kurtzman (1971)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Wallace v. Jaffree (1985)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Lee v. Weisman (1992)</w:t>
      </w:r>
    </w:p>
    <w:p w:rsidR="006A49F9" w:rsidRDefault="006A49F9" w:rsidP="00DA3B82">
      <w:pPr>
        <w:rPr>
          <w:rFonts w:ascii="Georgia" w:hAnsi="Georgia"/>
          <w:sz w:val="22"/>
        </w:rPr>
      </w:pPr>
    </w:p>
    <w:p w:rsidR="006A49F9" w:rsidRDefault="006A49F9" w:rsidP="00DA3B82">
      <w:pPr>
        <w:rPr>
          <w:rFonts w:ascii="Georgia" w:hAnsi="Georgia"/>
          <w:sz w:val="22"/>
        </w:rPr>
      </w:pPr>
    </w:p>
    <w:p w:rsidR="006A49F9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*Santa Fe School Independent School District v. Doe (2000)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Zelman v. Simmons-Harris (2002)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McCreary County, KY v. ACLU of Kentucky and Van Orden v. Perry (2005)</w:t>
      </w:r>
    </w:p>
    <w:p w:rsidR="00DA3B82" w:rsidRDefault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1162DC" w:rsidRDefault="001162DC" w:rsidP="001162DC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 xml:space="preserve">Briefly summarize recent cases and/or the direction the court is going in terms of the </w:t>
      </w:r>
      <w:r w:rsidR="00C27B51">
        <w:rPr>
          <w:rFonts w:ascii="Georgia" w:hAnsi="Georgia"/>
          <w:i/>
          <w:sz w:val="22"/>
        </w:rPr>
        <w:t>first amendment’s freedom of religion – establishment clause.</w:t>
      </w: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Pr="006B4921" w:rsidRDefault="00DA3B82">
      <w:pPr>
        <w:rPr>
          <w:rFonts w:ascii="Georgia" w:hAnsi="Georgia"/>
          <w:b/>
          <w:sz w:val="22"/>
        </w:rPr>
      </w:pPr>
      <w:r w:rsidRPr="006B4921">
        <w:rPr>
          <w:rFonts w:ascii="Georgia" w:hAnsi="Georgia"/>
          <w:b/>
          <w:sz w:val="22"/>
        </w:rPr>
        <w:t>Freedom of Religion – Free Exercise Clause</w:t>
      </w: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0A1DA4">
        <w:rPr>
          <w:rFonts w:ascii="Georgia" w:hAnsi="Georgia"/>
          <w:sz w:val="22"/>
        </w:rPr>
        <w:t xml:space="preserve">U.S. v. </w:t>
      </w:r>
      <w:r w:rsidR="00DA3B82">
        <w:rPr>
          <w:rFonts w:ascii="Georgia" w:hAnsi="Georgia"/>
          <w:sz w:val="22"/>
        </w:rPr>
        <w:t>Reynolds (1879)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6B4921" w:rsidRDefault="006B4921" w:rsidP="00DA3B82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Employment Division of Oregon v. Smith (1990)</w:t>
      </w:r>
    </w:p>
    <w:p w:rsidR="00DA3B82" w:rsidRDefault="00DA3B82">
      <w:pPr>
        <w:rPr>
          <w:rFonts w:ascii="Georgia" w:hAnsi="Georgia"/>
          <w:sz w:val="22"/>
        </w:rPr>
      </w:pPr>
    </w:p>
    <w:p w:rsidR="006B4921" w:rsidRDefault="006B4921">
      <w:pPr>
        <w:rPr>
          <w:rFonts w:ascii="Georgia" w:hAnsi="Georgia"/>
          <w:sz w:val="22"/>
        </w:rPr>
      </w:pPr>
    </w:p>
    <w:p w:rsidR="00DA3B82" w:rsidRDefault="006A49F9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DA3B82">
        <w:rPr>
          <w:rFonts w:ascii="Georgia" w:hAnsi="Georgia"/>
          <w:sz w:val="22"/>
        </w:rPr>
        <w:t>Church of Lukumi Babalu Aye, Inc. v. City of Hialeah (1993)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6B4921" w:rsidRDefault="006B4921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City of Boerne v. Flores (1997)</w:t>
      </w:r>
    </w:p>
    <w:p w:rsidR="006B4921" w:rsidRDefault="006B4921" w:rsidP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West Virginia v. Barnette (1943)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Wisconsin v. Yoder (1992)</w:t>
      </w:r>
    </w:p>
    <w:p w:rsidR="00DA3B82" w:rsidRDefault="00DA3B82" w:rsidP="00DA3B82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DA3B82" w:rsidRDefault="00DA3B82" w:rsidP="00DA3B82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Good News Club v. Milford (2001)</w:t>
      </w: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the first amendment’s freedom of religion – free exercise clause.</w:t>
      </w: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Due Process and the Rights of the Accused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Weeks v. United States (1914)</w:t>
      </w:r>
    </w:p>
    <w:p w:rsidR="00A6238D" w:rsidRDefault="00A6238D">
      <w:pPr>
        <w:rPr>
          <w:rFonts w:ascii="Georgia" w:hAnsi="Georgia"/>
          <w:sz w:val="22"/>
        </w:rPr>
      </w:pPr>
    </w:p>
    <w:p w:rsidR="00A6238D" w:rsidRDefault="00A6238D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Mapp v. Ohio (1961)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Gideon v. Wainwright (1963)</w:t>
      </w:r>
    </w:p>
    <w:p w:rsidR="00D047B6" w:rsidRDefault="00D047B6">
      <w:pPr>
        <w:rPr>
          <w:rFonts w:ascii="Georgia" w:hAnsi="Georgia"/>
          <w:sz w:val="22"/>
        </w:rPr>
      </w:pPr>
    </w:p>
    <w:p w:rsidR="00D047B6" w:rsidRDefault="00D047B6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Miranda v. Arizona (1966)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Sheppard v. Maxwell (1966)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Nix v. Williams (1984)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 xml:space="preserve">United States v. Leon (1984) 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New Jersey v. T.L.O (1985)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due process and the rights of the accused.</w:t>
      </w: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Equal Protection of the Law – Minorities</w:t>
      </w: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Plessy v. Ferguson (1896)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Korematsu v. United States (1944)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Brown v. Board of Education of Topeka I and II (1954)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Regents of the University of California v. Bakke (1978)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Swann v. Charlotte-Mecklenburg Board of Education (1971)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Adarand Constructors v. Pena (1995)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Grutter v. Bollinger (2003) and Gratz v. Bollinger (2003)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equal protection of the law for minority groups.</w:t>
      </w:r>
    </w:p>
    <w:p w:rsidR="00C27B51" w:rsidRDefault="00C27B51" w:rsidP="00C27B51">
      <w:pPr>
        <w:rPr>
          <w:rFonts w:ascii="Georgia" w:hAnsi="Georgia"/>
          <w:i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C27B51" w:rsidRDefault="00C27B51">
      <w:pPr>
        <w:rPr>
          <w:rFonts w:ascii="Georgia" w:hAnsi="Georgia"/>
          <w:sz w:val="22"/>
        </w:rPr>
      </w:pPr>
    </w:p>
    <w:p w:rsidR="00F642F3" w:rsidRDefault="00F642F3">
      <w:pPr>
        <w:pStyle w:val="Heading4"/>
      </w:pPr>
      <w:r>
        <w:t>Equal Protection of the Law – Gender and Sexual Orientation</w:t>
      </w: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Griswold v. Connecticut (1965)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Roe v. Wade (1973)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Webster v. Reproductive Health Services (1989)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6A49F9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*</w:t>
      </w:r>
      <w:r w:rsidR="00F642F3">
        <w:rPr>
          <w:rFonts w:ascii="Georgia" w:hAnsi="Georgia"/>
          <w:sz w:val="22"/>
        </w:rPr>
        <w:t>Planned Parenthood v. Casey (1992)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United States v. Virginia (1996)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Gonzales v. Carhart (2007)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Lawrence v. Texas (2003)</w:t>
      </w:r>
    </w:p>
    <w:p w:rsidR="00F642F3" w:rsidRDefault="00F642F3">
      <w:pPr>
        <w:rPr>
          <w:rFonts w:ascii="Georgia" w:hAnsi="Georgia"/>
          <w:sz w:val="22"/>
        </w:rPr>
      </w:pPr>
    </w:p>
    <w:p w:rsidR="00F642F3" w:rsidRDefault="00F642F3">
      <w:pPr>
        <w:rPr>
          <w:rFonts w:ascii="Georgia" w:hAnsi="Georgia"/>
          <w:sz w:val="22"/>
        </w:rPr>
      </w:pPr>
    </w:p>
    <w:p w:rsidR="00C27B51" w:rsidRDefault="00C27B51" w:rsidP="00C27B51">
      <w:pPr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Briefly summarize recent cases and/or the direction the court is going in terms of equal protection of the laws for gender and sexual orientation.</w:t>
      </w:r>
    </w:p>
    <w:p w:rsidR="00F642F3" w:rsidRDefault="00F642F3">
      <w:pPr>
        <w:rPr>
          <w:rFonts w:ascii="Georgia" w:hAnsi="Georgia"/>
          <w:sz w:val="22"/>
        </w:rPr>
      </w:pPr>
    </w:p>
    <w:sectPr w:rsidR="00F642F3" w:rsidSect="00455FAF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64" w:rsidRDefault="00764A64" w:rsidP="00773A22">
      <w:r>
        <w:separator/>
      </w:r>
    </w:p>
  </w:endnote>
  <w:endnote w:type="continuationSeparator" w:id="0">
    <w:p w:rsidR="00764A64" w:rsidRDefault="00764A64" w:rsidP="007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728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A22" w:rsidRDefault="00773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5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3A22" w:rsidRDefault="00773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64" w:rsidRDefault="00764A64" w:rsidP="00773A22">
      <w:r>
        <w:separator/>
      </w:r>
    </w:p>
  </w:footnote>
  <w:footnote w:type="continuationSeparator" w:id="0">
    <w:p w:rsidR="00764A64" w:rsidRDefault="00764A64" w:rsidP="0077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5D"/>
    <w:multiLevelType w:val="hybridMultilevel"/>
    <w:tmpl w:val="20EA0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2"/>
    <w:rsid w:val="00083FD2"/>
    <w:rsid w:val="000A1DA4"/>
    <w:rsid w:val="000F0795"/>
    <w:rsid w:val="001162DC"/>
    <w:rsid w:val="00455FAF"/>
    <w:rsid w:val="005E46B2"/>
    <w:rsid w:val="0060114E"/>
    <w:rsid w:val="006A49F9"/>
    <w:rsid w:val="006B2E00"/>
    <w:rsid w:val="006B4921"/>
    <w:rsid w:val="00764A64"/>
    <w:rsid w:val="00773A22"/>
    <w:rsid w:val="00992C1E"/>
    <w:rsid w:val="00A355AB"/>
    <w:rsid w:val="00A6238D"/>
    <w:rsid w:val="00C03F57"/>
    <w:rsid w:val="00C27B51"/>
    <w:rsid w:val="00D047B6"/>
    <w:rsid w:val="00D5577F"/>
    <w:rsid w:val="00DA3B82"/>
    <w:rsid w:val="00DB566D"/>
    <w:rsid w:val="00E06A63"/>
    <w:rsid w:val="00F04355"/>
    <w:rsid w:val="00F11670"/>
    <w:rsid w:val="00F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700C6-8822-4E57-B0BD-399E91AF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AF"/>
    <w:rPr>
      <w:sz w:val="24"/>
      <w:szCs w:val="24"/>
    </w:rPr>
  </w:style>
  <w:style w:type="paragraph" w:styleId="Heading1">
    <w:name w:val="heading 1"/>
    <w:basedOn w:val="Normal"/>
    <w:next w:val="Normal"/>
    <w:qFormat/>
    <w:rsid w:val="00455F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55FAF"/>
    <w:pPr>
      <w:keepNext/>
      <w:outlineLvl w:val="1"/>
    </w:pPr>
    <w:rPr>
      <w:rFonts w:eastAsia="Arial Unicode MS"/>
      <w:i/>
      <w:iCs/>
      <w:sz w:val="22"/>
    </w:rPr>
  </w:style>
  <w:style w:type="paragraph" w:styleId="Heading3">
    <w:name w:val="heading 3"/>
    <w:basedOn w:val="Normal"/>
    <w:next w:val="Normal"/>
    <w:qFormat/>
    <w:rsid w:val="00455FAF"/>
    <w:pPr>
      <w:keepNext/>
      <w:ind w:left="72" w:hanging="131"/>
      <w:outlineLvl w:val="2"/>
    </w:pPr>
    <w:rPr>
      <w:rFonts w:eastAsia="Arial Unicode MS"/>
      <w:i/>
      <w:iCs/>
      <w:sz w:val="22"/>
    </w:rPr>
  </w:style>
  <w:style w:type="paragraph" w:styleId="Heading4">
    <w:name w:val="heading 4"/>
    <w:basedOn w:val="Normal"/>
    <w:next w:val="Normal"/>
    <w:qFormat/>
    <w:rsid w:val="00455FAF"/>
    <w:pPr>
      <w:keepNext/>
      <w:outlineLvl w:val="3"/>
    </w:pPr>
    <w:rPr>
      <w:rFonts w:ascii="Georgia" w:hAnsi="Georgia"/>
      <w:b/>
      <w:bCs/>
      <w:sz w:val="22"/>
    </w:rPr>
  </w:style>
  <w:style w:type="paragraph" w:styleId="Heading9">
    <w:name w:val="heading 9"/>
    <w:basedOn w:val="Normal"/>
    <w:next w:val="Normal"/>
    <w:qFormat/>
    <w:rsid w:val="00455FAF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5FAF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455FAF"/>
    <w:rPr>
      <w:rFonts w:ascii="Georgia" w:hAnsi="Georgia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Government – Judicial Unit Supreme Court Cases</vt:lpstr>
    </vt:vector>
  </TitlesOfParts>
  <Company>Shaker Heights City School District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Government – Judicial Unit Supreme Court Cases</dc:title>
  <dc:creator>Kimberly Anne Owens</dc:creator>
  <cp:lastModifiedBy>B. Kennedy</cp:lastModifiedBy>
  <cp:revision>2</cp:revision>
  <cp:lastPrinted>2015-10-22T18:46:00Z</cp:lastPrinted>
  <dcterms:created xsi:type="dcterms:W3CDTF">2015-10-22T18:49:00Z</dcterms:created>
  <dcterms:modified xsi:type="dcterms:W3CDTF">2015-10-22T18:49:00Z</dcterms:modified>
</cp:coreProperties>
</file>